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u w:val="single"/>
          <w:shd w:fill="auto" w:val="clear"/>
        </w:rPr>
        <w:t xml:space="preserve">Transkrypcja do plakatu: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na zdj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ęciu o biały i szarym tle znajduje się napis czerwono-granatowy: myśl trzeźwo nad wodą.  Aby wypoczynek nie zmienił się w tragedię, wystarczy zabrać ze sobą nad wodę zdrowy rozsądek, obserwować zmiany pogody i przestrzegać kilku zasad bezpieczeństwa: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Nie wchod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ź do wody po spożyciu alkoholu,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Wybieraj k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ąpieliska strzeżone, na kt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órych s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 ratownicy,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Przestrzegaj znaków zakazu i ostrzegawczych,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Naucz si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ę pływać, doskonal tę umiejętność,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Na otwarte wody wyp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ływaj tylko z asekuracją,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Pami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ętaj, że dno morskie i rzeczne może się zmieniać,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Nie skacz szczególnie na g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łowę do nieznanej wody,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Do wody wchod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ź powoli, stopniowo przyzwyczajaj ciało do niższej temperatury,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Nie p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ływaj bezpośrednio po posiłku,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Podczas burzy nie przebywaj w wodzie, ani na wodzie,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Pilnuj k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ąpiących się małych dzieci,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Nie uprawiaj sportów na obszarach wodnych po spo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życiu alkoholu. 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NUMER ALARMOWY 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 112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NUMER RATUNKOWY NAD WOD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 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 601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 100 100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DZIECIĘCY TELEFON ZAUFANIA RZECZNIKA PRAW DZIECKA - 800 12 12 12</w:t>
      </w:r>
    </w:p>
    <w:p>
      <w:pPr>
        <w:spacing w:before="0" w:after="0" w:line="259"/>
        <w:ind w:right="0" w:left="36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TELEFON ZAUFANIA DLA DZIECI I M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ŁODZIEŻY FDDS 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 116 111</w:t>
      </w:r>
    </w:p>
    <w:p>
      <w:pPr>
        <w:spacing w:before="0" w:after="0" w:line="259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Akcja Komendy Wojewódzkiej Policji z siedzib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 w Radomiu oraz Mazowieckiego Centrum Polityki Społecznej. Zrealizowano w ramach Wojew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ódzkiego Programu Profilaktyki i Rozwi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ązywania Problem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ów Alkoholowych  oraz Przeciwdzia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łania Narkomanii Wojew</w:t>
      </w:r>
      <w:r>
        <w:rPr>
          <w:rFonts w:ascii="Calibri Light" w:hAnsi="Calibri Light" w:cs="Calibri Light" w:eastAsia="Calibri Light"/>
          <w:color w:val="000000"/>
          <w:spacing w:val="-10"/>
          <w:position w:val="0"/>
          <w:sz w:val="20"/>
          <w:shd w:fill="auto" w:val="clear"/>
        </w:rPr>
        <w:t xml:space="preserve">ództwa Mazowieckiego.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