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158">
      <w:pPr>
        <w:pStyle w:val="Default"/>
        <w:ind w:left="6804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724"/>
      </w:tblGrid>
      <w:tr w:rsidR="00000000">
        <w:trPr>
          <w:cantSplit/>
          <w:trHeight w:val="355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E7158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Nazwa programu: </w:t>
            </w:r>
            <w:r>
              <w:rPr>
                <w:b/>
                <w:bCs/>
                <w:sz w:val="20"/>
                <w:szCs w:val="20"/>
              </w:rPr>
              <w:t>Elektroniczny Nadawca</w:t>
            </w:r>
          </w:p>
        </w:tc>
      </w:tr>
      <w:tr w:rsidR="00000000">
        <w:trPr>
          <w:cantSplit/>
          <w:trHeight w:val="687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E7158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Jednostka/ komórka organizacyjna Policji:</w:t>
            </w:r>
          </w:p>
          <w:p w:rsidR="00000000" w:rsidRDefault="00FE7158" w:rsidP="00D64461">
            <w:pPr>
              <w:spacing w:before="120" w:after="0" w:line="240" w:lineRule="auto"/>
            </w:pPr>
            <w:r>
              <w:rPr>
                <w:b/>
                <w:sz w:val="20"/>
                <w:szCs w:val="20"/>
              </w:rPr>
              <w:t>Komenda Powiatowa</w:t>
            </w:r>
            <w:r>
              <w:rPr>
                <w:b/>
                <w:sz w:val="20"/>
                <w:szCs w:val="20"/>
              </w:rPr>
              <w:t xml:space="preserve"> Policji w </w:t>
            </w:r>
            <w:r w:rsidR="00D64461">
              <w:rPr>
                <w:b/>
                <w:sz w:val="20"/>
                <w:szCs w:val="20"/>
              </w:rPr>
              <w:t>Garwolinie</w:t>
            </w:r>
          </w:p>
        </w:tc>
      </w:tr>
      <w:tr w:rsidR="00000000">
        <w:trPr>
          <w:cantSplit/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imię i nazwisko lub nazwa oraz dane kontaktowe:</w:t>
            </w:r>
          </w:p>
        </w:tc>
      </w:tr>
      <w:tr w:rsidR="00000000">
        <w:trPr>
          <w:cantSplit/>
          <w:trHeight w:val="1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7158">
            <w:pPr>
              <w:numPr>
                <w:ilvl w:val="0"/>
                <w:numId w:val="2"/>
              </w:numPr>
              <w:spacing w:after="0" w:line="240" w:lineRule="auto"/>
              <w:ind w:left="113" w:hanging="113"/>
            </w:pPr>
            <w:r>
              <w:rPr>
                <w:sz w:val="18"/>
                <w:szCs w:val="18"/>
                <w:u w:val="single"/>
              </w:rPr>
              <w:t xml:space="preserve">administratora </w:t>
            </w:r>
            <w:r>
              <w:rPr>
                <w:sz w:val="18"/>
                <w:szCs w:val="18"/>
              </w:rPr>
              <w:t>:</w:t>
            </w:r>
          </w:p>
          <w:p w:rsidR="00000000" w:rsidRDefault="00FE7158">
            <w:pPr>
              <w:spacing w:after="0" w:line="240" w:lineRule="auto"/>
              <w:ind w:left="113"/>
            </w:pPr>
            <w:r>
              <w:rPr>
                <w:sz w:val="18"/>
                <w:szCs w:val="18"/>
              </w:rPr>
              <w:t xml:space="preserve">Komendant </w:t>
            </w:r>
            <w:r w:rsidR="00D64461">
              <w:rPr>
                <w:sz w:val="18"/>
                <w:szCs w:val="18"/>
              </w:rPr>
              <w:t>Powiatowa Policji w Garwolinie</w:t>
            </w:r>
            <w:r>
              <w:rPr>
                <w:sz w:val="18"/>
                <w:szCs w:val="18"/>
              </w:rPr>
              <w:t>:</w:t>
            </w:r>
          </w:p>
          <w:p w:rsidR="00000000" w:rsidRDefault="00D64461">
            <w:pPr>
              <w:spacing w:after="0" w:line="240" w:lineRule="auto"/>
              <w:ind w:left="113"/>
            </w:pPr>
            <w:r>
              <w:rPr>
                <w:sz w:val="18"/>
                <w:szCs w:val="18"/>
              </w:rPr>
              <w:t>- adres: ul. Stacyjna 23, 08-4</w:t>
            </w:r>
            <w:r w:rsidR="00FE7158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>Garwolin</w:t>
            </w:r>
          </w:p>
          <w:p w:rsidR="00000000" w:rsidRDefault="00FE7158">
            <w:pPr>
              <w:spacing w:after="0" w:line="240" w:lineRule="auto"/>
              <w:rPr>
                <w:sz w:val="18"/>
                <w:szCs w:val="18"/>
              </w:rPr>
            </w:pPr>
          </w:p>
          <w:p w:rsidR="00000000" w:rsidRDefault="00FE7158">
            <w:pPr>
              <w:numPr>
                <w:ilvl w:val="0"/>
                <w:numId w:val="2"/>
              </w:numPr>
              <w:spacing w:after="0" w:line="240" w:lineRule="auto"/>
              <w:ind w:left="113" w:hanging="113"/>
            </w:pPr>
            <w:r>
              <w:rPr>
                <w:sz w:val="18"/>
                <w:szCs w:val="18"/>
                <w:u w:val="single"/>
              </w:rPr>
              <w:t>inspektora ochrony danych</w:t>
            </w:r>
            <w:r>
              <w:rPr>
                <w:sz w:val="18"/>
                <w:szCs w:val="18"/>
              </w:rPr>
              <w:t>:</w:t>
            </w:r>
          </w:p>
          <w:p w:rsidR="00000000" w:rsidRDefault="00D64461">
            <w:pPr>
              <w:spacing w:after="0" w:line="240" w:lineRule="auto"/>
              <w:ind w:left="113"/>
            </w:pPr>
            <w:r>
              <w:rPr>
                <w:sz w:val="18"/>
                <w:szCs w:val="18"/>
              </w:rPr>
              <w:t>Wojciech Biernacki</w:t>
            </w:r>
          </w:p>
          <w:p w:rsidR="00000000" w:rsidRDefault="00D64461">
            <w:pPr>
              <w:spacing w:after="0" w:line="240" w:lineRule="auto"/>
              <w:ind w:left="113"/>
            </w:pPr>
            <w:r>
              <w:rPr>
                <w:sz w:val="18"/>
                <w:szCs w:val="18"/>
              </w:rPr>
              <w:t>- adres: ul. Stacyjna 23, 08-4</w:t>
            </w:r>
            <w:r w:rsidR="00FE715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Garwolin</w:t>
            </w:r>
          </w:p>
          <w:p w:rsidR="00000000" w:rsidRDefault="00FE7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 e-mail: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D64461" w:rsidRPr="00945A13">
                <w:rPr>
                  <w:rStyle w:val="Hipercze"/>
                  <w:sz w:val="18"/>
                  <w:szCs w:val="18"/>
                </w:rPr>
                <w:t>iod.kppgarwolin@ra.policja.gov.pl</w:t>
              </w:r>
            </w:hyperlink>
            <w:r w:rsidR="00D64461">
              <w:t xml:space="preserve"> </w:t>
            </w:r>
          </w:p>
          <w:p w:rsidR="00000000" w:rsidRDefault="00FE71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1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cele przetwarzania: </w:t>
            </w:r>
          </w:p>
        </w:tc>
      </w:tr>
      <w:tr w:rsidR="00000000">
        <w:trPr>
          <w:cantSplit/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realizacja zadań ustawowych Policji z operatorem pocztowym</w:t>
            </w:r>
            <w:r>
              <w:rPr>
                <w:sz w:val="18"/>
                <w:szCs w:val="18"/>
                <w:lang w:eastAsia="ar-SA"/>
              </w:rPr>
              <w:t xml:space="preserve"> Pocz</w:t>
            </w:r>
            <w:r>
              <w:rPr>
                <w:sz w:val="18"/>
                <w:szCs w:val="18"/>
                <w:lang w:eastAsia="ar-SA"/>
              </w:rPr>
              <w:t>tą Polską S.A.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cantSplit/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podstawa prawna przetwarzania danych z art. 6 ust. 1 RODO*:</w:t>
            </w:r>
          </w:p>
        </w:tc>
      </w:tr>
      <w:tr w:rsidR="00000000">
        <w:trPr>
          <w:cantSplit/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E7158">
            <w:pPr>
              <w:numPr>
                <w:ilvl w:val="0"/>
                <w:numId w:val="5"/>
              </w:numPr>
              <w:spacing w:after="0" w:line="240" w:lineRule="auto"/>
              <w:ind w:left="113" w:hanging="113"/>
            </w:pPr>
            <w:r>
              <w:rPr>
                <w:sz w:val="18"/>
                <w:szCs w:val="18"/>
              </w:rPr>
              <w:t>art. 6 ust.1 lit. „c” i „e” RODO</w:t>
            </w:r>
          </w:p>
        </w:tc>
      </w:tr>
      <w:tr w:rsidR="00000000">
        <w:trPr>
          <w:cantSplit/>
          <w:trHeight w:val="3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podstawa prawna przetwarzania danych osobowych:</w:t>
            </w:r>
          </w:p>
        </w:tc>
      </w:tr>
      <w:tr w:rsidR="00000000">
        <w:trPr>
          <w:trHeight w:val="4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7158">
            <w:pPr>
              <w:numPr>
                <w:ilvl w:val="0"/>
                <w:numId w:val="3"/>
              </w:numPr>
              <w:spacing w:before="120"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6 kwietnia 2019 r. o Policji,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26 czerwca 1974 r. Kodeks pracy</w:t>
            </w:r>
            <w:r>
              <w:rPr>
                <w:spacing w:val="3"/>
                <w:sz w:val="18"/>
                <w:szCs w:val="18"/>
              </w:rPr>
              <w:t>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21 listopada 2008 r. o służbie cywilnej,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16 września 1982 r. o pracownikach urzędów państwowych,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13 października 1998 r. o systemie ubezpieczeń społecznych,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27 sierpnia 2009 r. o finansach publiczny</w:t>
            </w:r>
            <w:r>
              <w:rPr>
                <w:spacing w:val="3"/>
                <w:sz w:val="18"/>
                <w:szCs w:val="18"/>
              </w:rPr>
              <w:t>ch,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14 czerwca 1960 r. Kodeks postępowania administracyjnego,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6 czerwca 1997 r. Kodeks postępowania karnego,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24 sierpnia 2001 r. Kodeks postępowania w sprawach o wykroczenia,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17 listopada 1964 r. Kode</w:t>
            </w:r>
            <w:r>
              <w:rPr>
                <w:spacing w:val="3"/>
                <w:sz w:val="18"/>
                <w:szCs w:val="18"/>
              </w:rPr>
              <w:t>ks postępowania cywilnego,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29 sierpnia 1997 r. Ordynacja podatkowa,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24 października 2019 r. Prawo zamówień publicznych,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ustawa z dnia 23 listopada 2012 r. Prawo pocztowe,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>inne przepisy prawa,</w:t>
            </w:r>
          </w:p>
          <w:p w:rsidR="00000000" w:rsidRDefault="00FE7158">
            <w:pPr>
              <w:numPr>
                <w:ilvl w:val="0"/>
                <w:numId w:val="3"/>
              </w:numPr>
              <w:spacing w:after="0" w:line="276" w:lineRule="auto"/>
              <w:ind w:left="414" w:hanging="357"/>
              <w:jc w:val="both"/>
            </w:pPr>
            <w:r>
              <w:rPr>
                <w:spacing w:val="3"/>
                <w:sz w:val="18"/>
                <w:szCs w:val="18"/>
              </w:rPr>
              <w:t xml:space="preserve">umowa nr </w:t>
            </w:r>
            <w:r>
              <w:rPr>
                <w:sz w:val="18"/>
                <w:szCs w:val="18"/>
                <w:lang w:eastAsia="ar-SA"/>
              </w:rPr>
              <w:t>204/151/</w:t>
            </w:r>
            <w:proofErr w:type="spellStart"/>
            <w:r>
              <w:rPr>
                <w:sz w:val="18"/>
                <w:szCs w:val="18"/>
                <w:lang w:eastAsia="ar-SA"/>
              </w:rPr>
              <w:t>BŁiI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/18/RG (ID nr: </w:t>
            </w:r>
            <w:r>
              <w:rPr>
                <w:sz w:val="18"/>
                <w:szCs w:val="18"/>
                <w:lang w:eastAsia="ar-SA"/>
              </w:rPr>
              <w:t>393383/L) z dnia 27.09.2018 roku zawarta pomiędzy Komendantem Głównym Policji a Pocztą Polską S.A.</w:t>
            </w:r>
          </w:p>
        </w:tc>
      </w:tr>
      <w:tr w:rsidR="00000000">
        <w:trPr>
          <w:cantSplit/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opis kategorii:</w:t>
            </w:r>
          </w:p>
        </w:tc>
      </w:tr>
      <w:tr w:rsidR="00000000">
        <w:trPr>
          <w:cantSplit/>
          <w:trHeight w:val="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7158">
            <w:pPr>
              <w:numPr>
                <w:ilvl w:val="0"/>
                <w:numId w:val="4"/>
              </w:numPr>
              <w:spacing w:after="0" w:line="240" w:lineRule="auto"/>
              <w:ind w:left="357"/>
            </w:pPr>
            <w:r>
              <w:rPr>
                <w:sz w:val="18"/>
                <w:szCs w:val="18"/>
              </w:rPr>
              <w:t xml:space="preserve">osób, których dane dotyczą: </w:t>
            </w:r>
          </w:p>
          <w:p w:rsidR="00000000" w:rsidRDefault="00FE7158">
            <w:pPr>
              <w:spacing w:after="0" w:line="240" w:lineRule="auto"/>
              <w:ind w:left="357"/>
            </w:pPr>
            <w:r>
              <w:rPr>
                <w:sz w:val="18"/>
                <w:szCs w:val="18"/>
              </w:rPr>
              <w:t>- osoby fizyczne,</w:t>
            </w:r>
          </w:p>
          <w:p w:rsidR="00000000" w:rsidRDefault="00FE7158">
            <w:pPr>
              <w:numPr>
                <w:ilvl w:val="0"/>
                <w:numId w:val="4"/>
              </w:numPr>
              <w:spacing w:before="120" w:after="0" w:line="240" w:lineRule="auto"/>
            </w:pPr>
            <w:r>
              <w:rPr>
                <w:sz w:val="18"/>
                <w:szCs w:val="18"/>
              </w:rPr>
              <w:t>danych osobowych:</w:t>
            </w:r>
          </w:p>
          <w:p w:rsidR="00000000" w:rsidRDefault="00FE7158">
            <w:pPr>
              <w:spacing w:after="120" w:line="240" w:lineRule="auto"/>
              <w:ind w:left="353"/>
            </w:pPr>
            <w:r>
              <w:rPr>
                <w:sz w:val="18"/>
                <w:szCs w:val="18"/>
              </w:rPr>
              <w:t>- imię i nazwisko, adres do korespondencji, dane kontaktowe (nr telefo</w:t>
            </w:r>
            <w:r>
              <w:rPr>
                <w:sz w:val="18"/>
                <w:szCs w:val="18"/>
              </w:rPr>
              <w:t xml:space="preserve">nu, adres e-mail), nazwa instytucji, funkcja </w:t>
            </w:r>
            <w:r>
              <w:rPr>
                <w:sz w:val="18"/>
                <w:szCs w:val="18"/>
              </w:rPr>
              <w:br/>
              <w:t>lub stanowisko osoby reprezentującej osobę prawną, numer identyfikacji podatkowej.</w:t>
            </w:r>
          </w:p>
        </w:tc>
      </w:tr>
      <w:tr w:rsidR="00000000">
        <w:trPr>
          <w:cantSplit/>
          <w:trHeight w:val="5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kategorie odbiorców, którym dane osobowe zostały lub zostaną ujawnione, w tym odbiorców w państwach trzecich lub w organiza</w:t>
            </w:r>
            <w:r>
              <w:rPr>
                <w:sz w:val="18"/>
                <w:szCs w:val="18"/>
              </w:rPr>
              <w:t>cjach międzynarodowych:</w:t>
            </w:r>
          </w:p>
        </w:tc>
      </w:tr>
      <w:tr w:rsidR="00000000">
        <w:trPr>
          <w:cantSplit/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7158">
            <w:pPr>
              <w:spacing w:before="120" w:after="120" w:line="240" w:lineRule="auto"/>
            </w:pPr>
            <w:r>
              <w:rPr>
                <w:sz w:val="18"/>
                <w:szCs w:val="18"/>
              </w:rPr>
              <w:t xml:space="preserve">Dane osobowe są ujawniane Poczcie Polskiej S.A. prowadzącej działalność pocztową w rozumieniu ustawy z dnia </w:t>
            </w:r>
            <w:r>
              <w:rPr>
                <w:sz w:val="18"/>
                <w:szCs w:val="18"/>
              </w:rPr>
              <w:br/>
              <w:t xml:space="preserve">23 listopada 2012 r. Prawo pocztowe </w:t>
            </w:r>
            <w:bookmarkStart w:id="0" w:name="target_link_mfrxilrtg4yteojvgqydmltqmfyc"/>
            <w:bookmarkEnd w:id="0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Dz.U</w:t>
            </w:r>
            <w:proofErr w:type="spellEnd"/>
            <w:r>
              <w:rPr>
                <w:sz w:val="18"/>
                <w:szCs w:val="18"/>
              </w:rPr>
              <w:t>. z 2018 r. poz. 2188 ze zm.) – celem wykonania usługi.</w:t>
            </w:r>
          </w:p>
        </w:tc>
      </w:tr>
      <w:tr w:rsidR="00000000">
        <w:trPr>
          <w:cantSplit/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gdy ma to zastosowan</w:t>
            </w:r>
            <w:r>
              <w:rPr>
                <w:sz w:val="18"/>
                <w:szCs w:val="18"/>
              </w:rPr>
              <w:t>ie, informację o przekazaniu danych osobowych do państwa trzeciego lub organizacji międzynarodowej, w tym nazwę tego państwa trzeciego lub organizacji międzynarodowej, a w przypadku przekazań, o których mowa w art. 49 ust. 1 akapit drugi, dokumentację odpo</w:t>
            </w:r>
            <w:r>
              <w:rPr>
                <w:sz w:val="18"/>
                <w:szCs w:val="18"/>
              </w:rPr>
              <w:t>wiednich zabezpieczeń:</w:t>
            </w:r>
          </w:p>
        </w:tc>
      </w:tr>
      <w:tr w:rsidR="00000000">
        <w:trPr>
          <w:cantSplit/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E7158">
            <w:pPr>
              <w:spacing w:before="120" w:after="120" w:line="240" w:lineRule="auto"/>
            </w:pPr>
            <w:r>
              <w:rPr>
                <w:sz w:val="18"/>
                <w:szCs w:val="18"/>
              </w:rPr>
              <w:t>Dane osobowe są przekazywane operatorom pocztowym państw trzecich w przypadku przesyłek zagranicznych.</w:t>
            </w:r>
          </w:p>
        </w:tc>
      </w:tr>
      <w:tr w:rsidR="00000000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0000" w:rsidRDefault="00FE715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okres przez który dane osobowe będą przechowywane: </w:t>
            </w:r>
          </w:p>
        </w:tc>
      </w:tr>
      <w:tr w:rsidR="00000000">
        <w:trPr>
          <w:cantSplit/>
          <w:trHeight w:val="6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E71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E7158">
            <w:pPr>
              <w:ind w:left="137"/>
              <w:jc w:val="both"/>
            </w:pPr>
            <w:r>
              <w:rPr>
                <w:sz w:val="18"/>
                <w:szCs w:val="18"/>
              </w:rPr>
              <w:t>Dane osobowe przetwarzane w programie Elektroniczny Nadawca usuwane są</w:t>
            </w:r>
            <w:r>
              <w:rPr>
                <w:sz w:val="18"/>
                <w:szCs w:val="18"/>
              </w:rPr>
              <w:t xml:space="preserve"> z programu zgodnie z regulaminami świadczenia usług Poczty Polskiej S.A. po wpływie 410 dni, a w wersji papierowej, zgodnie z przepisami archiwalnymi: zarządzeniem nr 10 Komendanta Głównego Policji z dnia 15 maja 2020 r. </w:t>
            </w:r>
            <w:r>
              <w:rPr>
                <w:i/>
                <w:sz w:val="18"/>
                <w:szCs w:val="18"/>
              </w:rPr>
              <w:t>w sprawie Jednolitego rzeczowego w</w:t>
            </w:r>
            <w:r>
              <w:rPr>
                <w:i/>
                <w:sz w:val="18"/>
                <w:szCs w:val="18"/>
              </w:rPr>
              <w:t xml:space="preserve">ykazu akt Policji </w:t>
            </w:r>
            <w:r>
              <w:rPr>
                <w:sz w:val="18"/>
                <w:szCs w:val="18"/>
              </w:rPr>
              <w:t xml:space="preserve">(Dz. Urz. KGP poz. 21), zarządzeniem nr 920 Komendanta Głównego Policji z dnia 11 września 2008 r. </w:t>
            </w:r>
            <w:r>
              <w:rPr>
                <w:i/>
                <w:sz w:val="18"/>
                <w:szCs w:val="18"/>
              </w:rPr>
              <w:t xml:space="preserve">w sprawie metod i form wykonywania zadań w zakresie działalności archiwalnej w Policji </w:t>
            </w:r>
            <w:r>
              <w:rPr>
                <w:sz w:val="18"/>
                <w:szCs w:val="18"/>
              </w:rPr>
              <w:t xml:space="preserve">(Dz. Urz. KGP nr 16 poz. 95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</w:tbl>
    <w:p w:rsidR="00000000" w:rsidRDefault="00FE7158">
      <w:pPr>
        <w:pStyle w:val="Tekstpodstawowy31"/>
        <w:jc w:val="both"/>
        <w:rPr>
          <w:rFonts w:ascii="Times New Roman" w:eastAsia="Calibri" w:hAnsi="Times New Roman" w:cs="Times New Roman"/>
          <w:b w:val="0"/>
          <w:sz w:val="24"/>
          <w:szCs w:val="23"/>
          <w:lang w:val="pl-PL" w:eastAsia="en-US"/>
        </w:rPr>
      </w:pPr>
    </w:p>
    <w:p w:rsidR="00FE7158" w:rsidRDefault="00FE7158">
      <w:pPr>
        <w:spacing w:after="0" w:line="240" w:lineRule="auto"/>
        <w:jc w:val="both"/>
      </w:pPr>
      <w:r>
        <w:rPr>
          <w:sz w:val="20"/>
          <w:szCs w:val="20"/>
        </w:rPr>
        <w:t>*</w:t>
      </w:r>
      <w:r>
        <w:rPr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>rozpor</w:t>
      </w:r>
      <w:r>
        <w:rPr>
          <w:rFonts w:eastAsia="Times New Roman"/>
          <w:sz w:val="16"/>
          <w:szCs w:val="16"/>
          <w:lang w:eastAsia="ar-SA"/>
        </w:rPr>
        <w:t>ządzenie Parlamentu Europejskiego i Rady (UE) 2016/679 z dnia 27 kwietnia 2016 r.</w:t>
      </w:r>
      <w:r>
        <w:rPr>
          <w:rFonts w:eastAsia="Times New Roman"/>
          <w:i/>
          <w:sz w:val="16"/>
          <w:szCs w:val="16"/>
          <w:lang w:eastAsia="ar-SA"/>
        </w:rPr>
        <w:t xml:space="preserve"> w sprawie ochrony osób fizycznych w związku   z przetwarzaniem danych osobowych i w sprawie swobodnego przepływu takich danych oraz uchylenia dyrektywy 95/46/WE </w:t>
      </w:r>
      <w:r>
        <w:rPr>
          <w:rFonts w:eastAsia="Times New Roman"/>
          <w:sz w:val="16"/>
          <w:szCs w:val="16"/>
          <w:lang w:eastAsia="ar-SA"/>
        </w:rPr>
        <w:t>(ogólne rozpo</w:t>
      </w:r>
      <w:r>
        <w:rPr>
          <w:rFonts w:eastAsia="Times New Roman"/>
          <w:sz w:val="16"/>
          <w:szCs w:val="16"/>
          <w:lang w:eastAsia="ar-SA"/>
        </w:rPr>
        <w:t>rządzenie o ochronie danych)  (Dz. Urz. UE.L Nr 119 z 04.05.2016, , str. 1, z </w:t>
      </w:r>
      <w:proofErr w:type="spellStart"/>
      <w:r>
        <w:rPr>
          <w:rFonts w:eastAsia="Times New Roman"/>
          <w:sz w:val="16"/>
          <w:szCs w:val="16"/>
          <w:lang w:eastAsia="ar-SA"/>
        </w:rPr>
        <w:t>późn</w:t>
      </w:r>
      <w:proofErr w:type="spellEnd"/>
      <w:r>
        <w:rPr>
          <w:rFonts w:eastAsia="Times New Roman"/>
          <w:sz w:val="16"/>
          <w:szCs w:val="16"/>
          <w:lang w:eastAsia="ar-SA"/>
        </w:rPr>
        <w:t>. zm.</w:t>
      </w:r>
      <w:r>
        <w:rPr>
          <w:rStyle w:val="Odwoanieprzypisudolnego"/>
          <w:rFonts w:eastAsia="Times New Roman"/>
          <w:sz w:val="16"/>
          <w:szCs w:val="16"/>
          <w:lang w:eastAsia="ar-SA"/>
        </w:rPr>
        <w:footnoteReference w:id="1"/>
      </w:r>
      <w:r>
        <w:rPr>
          <w:rFonts w:eastAsia="Times New Roman"/>
          <w:sz w:val="16"/>
          <w:szCs w:val="16"/>
          <w:lang w:eastAsia="ar-SA"/>
        </w:rPr>
        <w:t>).</w:t>
      </w:r>
    </w:p>
    <w:sectPr w:rsidR="00FE7158">
      <w:footerReference w:type="default" r:id="rId8"/>
      <w:footerReference w:type="first" r:id="rId9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58" w:rsidRDefault="00FE7158">
      <w:pPr>
        <w:spacing w:after="0" w:line="240" w:lineRule="auto"/>
      </w:pPr>
      <w:r>
        <w:separator/>
      </w:r>
    </w:p>
  </w:endnote>
  <w:endnote w:type="continuationSeparator" w:id="0">
    <w:p w:rsidR="00FE7158" w:rsidRDefault="00FE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CHDK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15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64461">
      <w:rPr>
        <w:noProof/>
      </w:rPr>
      <w:t>2</w:t>
    </w:r>
    <w:r>
      <w:fldChar w:fldCharType="end"/>
    </w:r>
  </w:p>
  <w:p w:rsidR="00000000" w:rsidRDefault="00FE71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1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58" w:rsidRDefault="00FE7158">
      <w:pPr>
        <w:spacing w:after="0" w:line="240" w:lineRule="auto"/>
      </w:pPr>
      <w:r>
        <w:separator/>
      </w:r>
    </w:p>
  </w:footnote>
  <w:footnote w:type="continuationSeparator" w:id="0">
    <w:p w:rsidR="00FE7158" w:rsidRDefault="00FE7158">
      <w:pPr>
        <w:spacing w:after="0" w:line="240" w:lineRule="auto"/>
      </w:pPr>
      <w:r>
        <w:continuationSeparator/>
      </w:r>
    </w:p>
  </w:footnote>
  <w:footnote w:id="1">
    <w:p w:rsidR="00000000" w:rsidRDefault="00FE7158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>Zmiana wymienionego rozporządzenia została ogłoszona w Dz. Urz. UE L 127 z 23.05.2018 r. str. 2.</w:t>
      </w:r>
    </w:p>
    <w:p w:rsidR="00000000" w:rsidRDefault="00FE7158">
      <w:pPr>
        <w:pStyle w:val="Footnote"/>
      </w:pPr>
      <w:r>
        <w:rPr>
          <w:rStyle w:val="WW-Znakiprzypiswdolnych"/>
          <w:sz w:val="22"/>
          <w:szCs w:val="22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lfaen" w:hAnsi="Sylfaen" w:cs="Sylfaen" w:hint="default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  <w:spacing w:val="3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lfaen" w:hAnsi="Sylfaen" w:cs="Sylfae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61"/>
    <w:rsid w:val="00D64461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eastAsia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bidi="he-I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lfaen" w:hAnsi="Sylfaen" w:cs="Sylfaen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lfaen" w:hAnsi="Sylfaen" w:cs="Sylfaen" w:hint="default"/>
      <w:spacing w:val="3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Calibri" w:hAnsi="Times New Roman" w:cs="Times New Roman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lfaen" w:hAnsi="Sylfaen" w:cs="Sylfae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FontStyle32">
    <w:name w:val="Font Style32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rPr>
      <w:rFonts w:ascii="Arial" w:hAnsi="Arial" w:cs="Arial"/>
      <w:b/>
      <w:bCs/>
      <w:sz w:val="34"/>
      <w:szCs w:val="34"/>
    </w:rPr>
  </w:style>
  <w:style w:type="character" w:customStyle="1" w:styleId="FontStyle34">
    <w:name w:val="Font Style34"/>
    <w:rPr>
      <w:rFonts w:ascii="Arial" w:hAnsi="Arial" w:cs="Arial"/>
      <w:b/>
      <w:bCs/>
      <w:sz w:val="30"/>
      <w:szCs w:val="30"/>
    </w:rPr>
  </w:style>
  <w:style w:type="character" w:customStyle="1" w:styleId="FontStyle35">
    <w:name w:val="Font Style35"/>
    <w:rPr>
      <w:rFonts w:ascii="Arial" w:hAnsi="Arial" w:cs="Arial"/>
      <w:b/>
      <w:bCs/>
      <w:sz w:val="20"/>
      <w:szCs w:val="20"/>
    </w:rPr>
  </w:style>
  <w:style w:type="character" w:customStyle="1" w:styleId="NagwekZnak">
    <w:name w:val="Nagłówek Znak"/>
    <w:rPr>
      <w:rFonts w:ascii="Arial" w:eastAsia="Times New Roman" w:hAnsi="Arial" w:cs="Aria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FontStyle38">
    <w:name w:val="Font Style38"/>
    <w:rPr>
      <w:rFonts w:ascii="Arial" w:hAnsi="Arial" w:cs="Arial"/>
      <w:i/>
      <w:iCs/>
      <w:sz w:val="20"/>
      <w:szCs w:val="20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skstgwnyZnak">
    <w:name w:val="Teskst główny Znak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Arial" w:eastAsia="Arial Unicode MS" w:hAnsi="Arial" w:cs="Arial"/>
      <w:b/>
      <w:bCs/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iCs/>
      <w:sz w:val="22"/>
      <w:szCs w:val="28"/>
      <w:lang w:bidi="he-I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Pr>
      <w:rFonts w:ascii="Arial" w:eastAsia="Times New Roman" w:hAnsi="Arial" w:cs="Aria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Times New Roman" w:hAnsi="Times New Roman" w:cs="Times New Roman"/>
      <w:sz w:val="22"/>
      <w:szCs w:val="2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domyslny1">
    <w:name w:val="akapitdomyslny1"/>
    <w:basedOn w:val="Domylnaczcionkaakapitu1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eastAsia="Times New Roman"/>
      <w:sz w:val="24"/>
      <w:szCs w:val="24"/>
      <w:lang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yle1">
    <w:name w:val="Style1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  <w:spacing w:after="0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Style20">
    <w:name w:val="Style20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Normalny"/>
    <w:pPr>
      <w:widowControl w:val="0"/>
      <w:autoSpaceDE w:val="0"/>
      <w:spacing w:after="0" w:line="382" w:lineRule="exact"/>
      <w:ind w:firstLine="69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Normalny"/>
    <w:pPr>
      <w:widowControl w:val="0"/>
      <w:autoSpaceDE w:val="0"/>
      <w:spacing w:after="0" w:line="379" w:lineRule="exact"/>
      <w:ind w:firstLine="56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istapunktowana21">
    <w:name w:val="Lista punktowana 21"/>
    <w:basedOn w:val="Normalny"/>
    <w:pPr>
      <w:spacing w:after="0" w:line="276" w:lineRule="auto"/>
      <w:ind w:firstLine="540"/>
      <w:jc w:val="both"/>
    </w:pPr>
    <w:rPr>
      <w:rFonts w:eastAsia="Times New Roman"/>
    </w:rPr>
  </w:style>
  <w:style w:type="paragraph" w:styleId="Bezodstpw">
    <w:name w:val="No Spacing"/>
    <w:qFormat/>
    <w:pPr>
      <w:suppressAutoHyphens/>
    </w:pPr>
    <w:rPr>
      <w:rFonts w:eastAsia="Calibri"/>
      <w:sz w:val="22"/>
      <w:szCs w:val="22"/>
      <w:lang w:eastAsia="zh-CN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Normalny"/>
    <w:pPr>
      <w:widowControl w:val="0"/>
      <w:autoSpaceDE w:val="0"/>
      <w:spacing w:after="0" w:line="382" w:lineRule="exact"/>
      <w:ind w:hanging="353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Normalny"/>
    <w:pPr>
      <w:widowControl w:val="0"/>
      <w:autoSpaceDE w:val="0"/>
      <w:spacing w:after="0" w:line="379" w:lineRule="exact"/>
      <w:ind w:firstLine="56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Normalny"/>
    <w:pPr>
      <w:widowControl w:val="0"/>
      <w:autoSpaceDE w:val="0"/>
      <w:spacing w:after="0" w:line="378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pPr>
      <w:widowControl w:val="0"/>
      <w:autoSpaceDE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Teskstgwny">
    <w:name w:val="Teskst główny"/>
    <w:basedOn w:val="Normalny"/>
    <w:pPr>
      <w:spacing w:after="0" w:line="360" w:lineRule="auto"/>
      <w:ind w:firstLine="709"/>
      <w:jc w:val="both"/>
    </w:pPr>
    <w:rPr>
      <w:sz w:val="24"/>
      <w:szCs w:val="24"/>
      <w:lang/>
    </w:rPr>
  </w:style>
  <w:style w:type="paragraph" w:customStyle="1" w:styleId="Tekstpodstawowy31">
    <w:name w:val="Tekst podstawowy 31"/>
    <w:basedOn w:val="Normalny"/>
    <w:pPr>
      <w:spacing w:after="0" w:line="360" w:lineRule="auto"/>
      <w:jc w:val="center"/>
    </w:pPr>
    <w:rPr>
      <w:rFonts w:ascii="Arial" w:eastAsia="Arial Unicode MS" w:hAnsi="Arial" w:cs="Arial"/>
      <w:b/>
      <w:bCs/>
      <w:lang/>
    </w:rPr>
  </w:style>
  <w:style w:type="paragraph" w:customStyle="1" w:styleId="Default">
    <w:name w:val="Default"/>
    <w:pPr>
      <w:suppressAutoHyphens/>
      <w:autoSpaceDE w:val="0"/>
    </w:pPr>
    <w:rPr>
      <w:rFonts w:ascii="HICHDK+TimesNewRoman" w:hAnsi="HICHDK+TimesNewRoman" w:cs="HICHDK+TimesNew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tabs>
        <w:tab w:val="left" w:pos="1222"/>
      </w:tabs>
      <w:spacing w:after="0" w:line="360" w:lineRule="auto"/>
      <w:jc w:val="both"/>
    </w:pPr>
    <w:rPr>
      <w:color w:val="FF0000"/>
      <w:sz w:val="24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paragraph" w:customStyle="1" w:styleId="Tekstkomentarza1">
    <w:name w:val="Tekst komentarza1"/>
    <w:basedOn w:val="Normalny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Nagwekwykazurde">
    <w:name w:val="toa heading"/>
    <w:basedOn w:val="Nagwek1"/>
    <w:next w:val="Normalny"/>
    <w:pPr>
      <w:keepLines/>
      <w:widowControl/>
      <w:numPr>
        <w:numId w:val="0"/>
      </w:numPr>
      <w:autoSpaceDE/>
      <w:spacing w:after="0" w:line="256" w:lineRule="auto"/>
    </w:pPr>
    <w:rPr>
      <w:rFonts w:ascii="Calibri Light" w:hAnsi="Calibri Light" w:cs="Times New Roman"/>
      <w:b w:val="0"/>
      <w:bCs w:val="0"/>
      <w:color w:val="2E74B5"/>
      <w:kern w:val="0"/>
      <w:lang w:val="pl-PL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tabs>
        <w:tab w:val="right" w:leader="dot" w:pos="9488"/>
      </w:tabs>
      <w:spacing w:after="0" w:line="264" w:lineRule="auto"/>
      <w:ind w:left="221"/>
    </w:pPr>
    <w:rPr>
      <w:rFonts w:ascii="Calibri" w:eastAsia="Times New Roman" w:hAnsi="Calibri" w:cs="Calibri"/>
    </w:rPr>
  </w:style>
  <w:style w:type="paragraph" w:styleId="Spistreci3">
    <w:name w:val="toc 3"/>
    <w:basedOn w:val="Normalny"/>
    <w:next w:val="Normalny"/>
    <w:pPr>
      <w:spacing w:after="100"/>
      <w:ind w:left="440"/>
    </w:pPr>
    <w:rPr>
      <w:rFonts w:ascii="Calibri" w:eastAsia="Times New Roman" w:hAnsi="Calibri" w:cs="Calibri"/>
    </w:rPr>
  </w:style>
  <w:style w:type="paragraph" w:styleId="Poprawka">
    <w:name w:val="Revision"/>
    <w:pPr>
      <w:suppressAutoHyphens/>
    </w:pPr>
    <w:rPr>
      <w:rFonts w:eastAsia="Calibri"/>
      <w:sz w:val="22"/>
      <w:szCs w:val="22"/>
      <w:lang w:eastAsia="zh-CN"/>
    </w:rPr>
  </w:style>
  <w:style w:type="paragraph" w:customStyle="1" w:styleId="Footnote">
    <w:name w:val="Footnote"/>
    <w:basedOn w:val="Normalny"/>
    <w:pPr>
      <w:widowControl w:val="0"/>
      <w:suppressLineNumbers/>
      <w:spacing w:after="0" w:line="240" w:lineRule="auto"/>
      <w:ind w:left="283" w:hanging="283"/>
      <w:textAlignment w:val="baseline"/>
    </w:pPr>
    <w:rPr>
      <w:rFonts w:ascii="Nimbus Roman No9 L" w:eastAsia="SimSun" w:hAnsi="Nimbus Roman No9 L" w:cs="Nimbus Roman No9 L"/>
      <w:kern w:val="2"/>
      <w:sz w:val="20"/>
      <w:szCs w:val="20"/>
    </w:rPr>
  </w:style>
  <w:style w:type="paragraph" w:styleId="NormalnyWeb">
    <w:name w:val="Normal (Web)"/>
    <w:basedOn w:val="Normalny"/>
    <w:pPr>
      <w:spacing w:before="280" w:after="142" w:line="288" w:lineRule="auto"/>
    </w:pPr>
    <w:rPr>
      <w:rFonts w:eastAsia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ppgarwolin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programu:</dc:title>
  <dc:creator>Klaudiusz Kryczka</dc:creator>
  <cp:lastModifiedBy>Policja</cp:lastModifiedBy>
  <cp:revision>2</cp:revision>
  <cp:lastPrinted>2020-03-05T10:01:00Z</cp:lastPrinted>
  <dcterms:created xsi:type="dcterms:W3CDTF">2022-04-29T07:14:00Z</dcterms:created>
  <dcterms:modified xsi:type="dcterms:W3CDTF">2022-04-29T07:14:00Z</dcterms:modified>
</cp:coreProperties>
</file>